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D714" w14:textId="77777777" w:rsidR="003B5835" w:rsidRDefault="003B5835" w:rsidP="002940E0"/>
    <w:p w14:paraId="6DA249A6" w14:textId="1A64A335" w:rsidR="002940E0" w:rsidRDefault="002940E0" w:rsidP="002940E0">
      <w:r>
        <w:t>The Benevolent Fund's role in the International Association of Black Professional Fire Fighters</w:t>
      </w:r>
      <w:r w:rsidR="003B5835">
        <w:t xml:space="preserve"> Inc.</w:t>
      </w:r>
      <w:r>
        <w:t xml:space="preserve"> (IABPFF) holds great significance. </w:t>
      </w:r>
      <w:r w:rsidR="0071598A">
        <w:t>It is</w:t>
      </w:r>
      <w:r>
        <w:t xml:space="preserve"> designed to provide essential support to members in times of need or crisis, fostering a sense of community and care within the organization. Highlighting its importance during an Executive Council meeting is a strategic move—it can underline the fund's impact and how it aligns with the values and goals of the IABPFF.</w:t>
      </w:r>
    </w:p>
    <w:p w14:paraId="05F05C38" w14:textId="77777777" w:rsidR="002940E0" w:rsidRDefault="002940E0" w:rsidP="002940E0"/>
    <w:p w14:paraId="657CA940" w14:textId="518A528C" w:rsidR="002940E0" w:rsidRDefault="002940E0" w:rsidP="002940E0">
      <w:r>
        <w:t xml:space="preserve">Utilizing the Executive Council registration as part of this discussion could streamline contributions, ensure widespread engagement, or align fund activities with the council's broader initiatives. If </w:t>
      </w:r>
      <w:r w:rsidR="0071598A">
        <w:t>you would</w:t>
      </w:r>
      <w:r>
        <w:t xml:space="preserve"> like, I can help craft a proposal or </w:t>
      </w:r>
      <w:r w:rsidR="00F807E1">
        <w:t>support</w:t>
      </w:r>
      <w:r>
        <w:t xml:space="preserve"> materials that emphasize this connection and the importance of the Benevolent Fund. </w:t>
      </w:r>
    </w:p>
    <w:p w14:paraId="3976A91C" w14:textId="77777777" w:rsidR="002940E0" w:rsidRDefault="002940E0" w:rsidP="002940E0"/>
    <w:p w14:paraId="0AA6142A" w14:textId="77777777" w:rsidR="002940E0" w:rsidRPr="002940E0" w:rsidRDefault="002940E0" w:rsidP="002940E0">
      <w:r w:rsidRPr="002940E0">
        <w:t>Utilizing the Executive Council registration effectively can enhance engagement, streamline processes, and align the organization's goals. Here are some strategies to make the most of it:</w:t>
      </w:r>
    </w:p>
    <w:p w14:paraId="206034CD" w14:textId="77777777" w:rsidR="002940E0" w:rsidRPr="002940E0" w:rsidRDefault="002940E0" w:rsidP="002940E0">
      <w:pPr>
        <w:numPr>
          <w:ilvl w:val="0"/>
          <w:numId w:val="1"/>
        </w:numPr>
      </w:pPr>
      <w:r w:rsidRPr="002940E0">
        <w:rPr>
          <w:b/>
          <w:bCs/>
        </w:rPr>
        <w:t>Streamline Member Contributions</w:t>
      </w:r>
      <w:r w:rsidRPr="002940E0">
        <w:t>:</w:t>
      </w:r>
    </w:p>
    <w:p w14:paraId="25D65006" w14:textId="43B65F09" w:rsidR="002940E0" w:rsidRPr="002940E0" w:rsidRDefault="002940E0" w:rsidP="002940E0">
      <w:pPr>
        <w:numPr>
          <w:ilvl w:val="1"/>
          <w:numId w:val="1"/>
        </w:numPr>
      </w:pPr>
      <w:r w:rsidRPr="002940E0">
        <w:t xml:space="preserve">Encourage members to contribute </w:t>
      </w:r>
      <w:r w:rsidR="00F807E1">
        <w:t xml:space="preserve">directly to funds like the Benevolent Fund </w:t>
      </w:r>
      <w:r w:rsidRPr="002940E0">
        <w:t>during registration. This simplifies the process and increases participation.</w:t>
      </w:r>
    </w:p>
    <w:p w14:paraId="29C8CED2" w14:textId="77777777" w:rsidR="002940E0" w:rsidRPr="002940E0" w:rsidRDefault="002940E0" w:rsidP="002940E0">
      <w:pPr>
        <w:numPr>
          <w:ilvl w:val="0"/>
          <w:numId w:val="1"/>
        </w:numPr>
      </w:pPr>
      <w:r w:rsidRPr="002940E0">
        <w:rPr>
          <w:b/>
          <w:bCs/>
        </w:rPr>
        <w:t>Enhance Communication</w:t>
      </w:r>
      <w:r w:rsidRPr="002940E0">
        <w:t>:</w:t>
      </w:r>
    </w:p>
    <w:p w14:paraId="17B3238F" w14:textId="77777777" w:rsidR="002940E0" w:rsidRPr="002940E0" w:rsidRDefault="002940E0" w:rsidP="002940E0">
      <w:pPr>
        <w:numPr>
          <w:ilvl w:val="1"/>
          <w:numId w:val="1"/>
        </w:numPr>
      </w:pPr>
      <w:r w:rsidRPr="002940E0">
        <w:t>Use the registration process to gather updated contact information. This ensures the council can keep members informed about initiatives and updates.</w:t>
      </w:r>
    </w:p>
    <w:p w14:paraId="4E67F38C" w14:textId="77777777" w:rsidR="002940E0" w:rsidRPr="002940E0" w:rsidRDefault="002940E0" w:rsidP="002940E0">
      <w:pPr>
        <w:numPr>
          <w:ilvl w:val="0"/>
          <w:numId w:val="1"/>
        </w:numPr>
      </w:pPr>
      <w:r w:rsidRPr="002940E0">
        <w:rPr>
          <w:b/>
          <w:bCs/>
        </w:rPr>
        <w:t>Promote Engagement</w:t>
      </w:r>
      <w:r w:rsidRPr="002940E0">
        <w:t>:</w:t>
      </w:r>
    </w:p>
    <w:p w14:paraId="04F73075" w14:textId="7772C54E" w:rsidR="002940E0" w:rsidRPr="002940E0" w:rsidRDefault="002940E0" w:rsidP="002940E0">
      <w:pPr>
        <w:numPr>
          <w:ilvl w:val="1"/>
          <w:numId w:val="1"/>
        </w:numPr>
      </w:pPr>
      <w:r w:rsidRPr="002940E0">
        <w:t xml:space="preserve">Include a section in the registration for members to express interest in volunteering or contributing their </w:t>
      </w:r>
      <w:r w:rsidR="00E54BF3" w:rsidRPr="002940E0">
        <w:t>ability</w:t>
      </w:r>
      <w:r w:rsidRPr="002940E0">
        <w:t xml:space="preserve"> to specific committees or events.</w:t>
      </w:r>
    </w:p>
    <w:p w14:paraId="1A0AAFE1" w14:textId="77777777" w:rsidR="002940E0" w:rsidRPr="002940E0" w:rsidRDefault="002940E0" w:rsidP="002940E0">
      <w:pPr>
        <w:numPr>
          <w:ilvl w:val="0"/>
          <w:numId w:val="1"/>
        </w:numPr>
      </w:pPr>
      <w:r w:rsidRPr="002940E0">
        <w:rPr>
          <w:b/>
          <w:bCs/>
        </w:rPr>
        <w:t>Feedback Collection</w:t>
      </w:r>
      <w:r w:rsidRPr="002940E0">
        <w:t>:</w:t>
      </w:r>
    </w:p>
    <w:p w14:paraId="270A0722" w14:textId="77777777" w:rsidR="002940E0" w:rsidRPr="002940E0" w:rsidRDefault="002940E0" w:rsidP="002940E0">
      <w:pPr>
        <w:numPr>
          <w:ilvl w:val="1"/>
          <w:numId w:val="1"/>
        </w:numPr>
      </w:pPr>
      <w:r w:rsidRPr="002940E0">
        <w:t>Incorporate a survey or questionnaire during registration to gather input on how the Executive Council can address members’ needs and priorities effectively.</w:t>
      </w:r>
    </w:p>
    <w:p w14:paraId="46C06643" w14:textId="77777777" w:rsidR="002940E0" w:rsidRPr="002940E0" w:rsidRDefault="002940E0" w:rsidP="002940E0">
      <w:pPr>
        <w:numPr>
          <w:ilvl w:val="0"/>
          <w:numId w:val="1"/>
        </w:numPr>
      </w:pPr>
      <w:r w:rsidRPr="002940E0">
        <w:rPr>
          <w:b/>
          <w:bCs/>
        </w:rPr>
        <w:t>Showcase Impact</w:t>
      </w:r>
      <w:r w:rsidRPr="002940E0">
        <w:t>:</w:t>
      </w:r>
    </w:p>
    <w:p w14:paraId="5E1FFA0B" w14:textId="77777777" w:rsidR="002940E0" w:rsidRPr="002940E0" w:rsidRDefault="002940E0" w:rsidP="002940E0">
      <w:pPr>
        <w:numPr>
          <w:ilvl w:val="1"/>
          <w:numId w:val="1"/>
        </w:numPr>
      </w:pPr>
      <w:r w:rsidRPr="002940E0">
        <w:lastRenderedPageBreak/>
        <w:t>Share success stories or metrics related to past initiatives funded through contributions collected during registration. This inspires confidence and fosters a sense of collective achievement.</w:t>
      </w:r>
    </w:p>
    <w:p w14:paraId="0BC872CF" w14:textId="77777777" w:rsidR="002940E0" w:rsidRPr="002940E0" w:rsidRDefault="002940E0" w:rsidP="002940E0">
      <w:pPr>
        <w:numPr>
          <w:ilvl w:val="0"/>
          <w:numId w:val="1"/>
        </w:numPr>
      </w:pPr>
      <w:r w:rsidRPr="002940E0">
        <w:rPr>
          <w:b/>
          <w:bCs/>
        </w:rPr>
        <w:t>Digital Accessibility</w:t>
      </w:r>
      <w:r w:rsidRPr="002940E0">
        <w:t>:</w:t>
      </w:r>
    </w:p>
    <w:p w14:paraId="23E91783" w14:textId="77777777" w:rsidR="002940E0" w:rsidRPr="002940E0" w:rsidRDefault="002940E0" w:rsidP="002940E0">
      <w:pPr>
        <w:numPr>
          <w:ilvl w:val="1"/>
          <w:numId w:val="1"/>
        </w:numPr>
      </w:pPr>
      <w:r w:rsidRPr="002940E0">
        <w:t>Make the registration process user-friendly with options for online forms and mobile-friendly platforms to ensure ease of access and participation.</w:t>
      </w:r>
    </w:p>
    <w:p w14:paraId="4037CBCA" w14:textId="77777777" w:rsidR="002940E0" w:rsidRPr="002940E0" w:rsidRDefault="002940E0" w:rsidP="002940E0">
      <w:r w:rsidRPr="002940E0">
        <w:t>Would you like help crafting a specific implementation plan or communication materials for any of these strategies?</w:t>
      </w:r>
    </w:p>
    <w:p w14:paraId="45BA4B7F" w14:textId="77777777" w:rsidR="002940E0" w:rsidRDefault="002940E0" w:rsidP="002940E0"/>
    <w:p w14:paraId="353CC3E9" w14:textId="3F30FEAB" w:rsidR="002940E0" w:rsidRPr="002940E0" w:rsidRDefault="002940E0" w:rsidP="002940E0">
      <w:r w:rsidRPr="002940E0">
        <w:t xml:space="preserve">Certainly! Streamlining member contributions during Executive Council registration can simplify the process and encourage greater participation. </w:t>
      </w:r>
      <w:r w:rsidR="00E54BF3" w:rsidRPr="002940E0">
        <w:t>Here is</w:t>
      </w:r>
      <w:r w:rsidRPr="002940E0">
        <w:t xml:space="preserve"> a deeper look:</w:t>
      </w:r>
    </w:p>
    <w:p w14:paraId="77349DBA" w14:textId="77777777" w:rsidR="002940E0" w:rsidRPr="002940E0" w:rsidRDefault="002940E0" w:rsidP="002940E0">
      <w:pPr>
        <w:numPr>
          <w:ilvl w:val="0"/>
          <w:numId w:val="2"/>
        </w:numPr>
      </w:pPr>
      <w:r w:rsidRPr="002940E0">
        <w:rPr>
          <w:b/>
          <w:bCs/>
        </w:rPr>
        <w:t>Integrated Payment Options</w:t>
      </w:r>
      <w:r w:rsidRPr="002940E0">
        <w:t>:</w:t>
      </w:r>
    </w:p>
    <w:p w14:paraId="3893F1D7" w14:textId="11F481FC" w:rsidR="002940E0" w:rsidRPr="002940E0" w:rsidRDefault="002940E0" w:rsidP="002940E0">
      <w:pPr>
        <w:numPr>
          <w:ilvl w:val="1"/>
          <w:numId w:val="2"/>
        </w:numPr>
      </w:pPr>
      <w:r w:rsidRPr="002940E0">
        <w:t xml:space="preserve">Include a dedicated section in the registration form where members can easily contribute to funds, like the Benevolent Fund while registering. Provide multiple payment methods—credit </w:t>
      </w:r>
      <w:r w:rsidR="00F807E1" w:rsidRPr="002940E0">
        <w:t>cards</w:t>
      </w:r>
      <w:r w:rsidRPr="002940E0">
        <w:t>, digital wallets, direct transfers, etc.—to accommodate all preferences.</w:t>
      </w:r>
    </w:p>
    <w:p w14:paraId="1EB195F5" w14:textId="77777777" w:rsidR="002940E0" w:rsidRPr="002940E0" w:rsidRDefault="002940E0" w:rsidP="002940E0">
      <w:pPr>
        <w:numPr>
          <w:ilvl w:val="0"/>
          <w:numId w:val="2"/>
        </w:numPr>
      </w:pPr>
      <w:r w:rsidRPr="002940E0">
        <w:rPr>
          <w:b/>
          <w:bCs/>
        </w:rPr>
        <w:t>Predefined Contribution Tiers</w:t>
      </w:r>
      <w:r w:rsidRPr="002940E0">
        <w:t>:</w:t>
      </w:r>
    </w:p>
    <w:p w14:paraId="1DD28B1B" w14:textId="1CBE7D32" w:rsidR="002940E0" w:rsidRPr="002940E0" w:rsidRDefault="002940E0" w:rsidP="002940E0">
      <w:pPr>
        <w:numPr>
          <w:ilvl w:val="1"/>
          <w:numId w:val="2"/>
        </w:numPr>
      </w:pPr>
      <w:r w:rsidRPr="002940E0">
        <w:t xml:space="preserve">Offer suggested donation amounts (e.g., $25, $50, $100) alongside </w:t>
      </w:r>
      <w:r w:rsidR="00E54BF3" w:rsidRPr="002940E0">
        <w:t>a choice</w:t>
      </w:r>
      <w:r w:rsidRPr="002940E0">
        <w:t xml:space="preserve"> for members to customize their contributions. Predefined tiers can simplify decision-making and make contributions faster.</w:t>
      </w:r>
    </w:p>
    <w:p w14:paraId="312F6001" w14:textId="77777777" w:rsidR="002940E0" w:rsidRPr="002940E0" w:rsidRDefault="002940E0" w:rsidP="002940E0">
      <w:pPr>
        <w:numPr>
          <w:ilvl w:val="0"/>
          <w:numId w:val="2"/>
        </w:numPr>
      </w:pPr>
      <w:r w:rsidRPr="002940E0">
        <w:rPr>
          <w:b/>
          <w:bCs/>
        </w:rPr>
        <w:t>Automated Receipts and Acknowledgments</w:t>
      </w:r>
      <w:r w:rsidRPr="002940E0">
        <w:t>:</w:t>
      </w:r>
    </w:p>
    <w:p w14:paraId="0182CE00" w14:textId="77777777" w:rsidR="002940E0" w:rsidRPr="002940E0" w:rsidRDefault="002940E0" w:rsidP="002940E0">
      <w:pPr>
        <w:numPr>
          <w:ilvl w:val="1"/>
          <w:numId w:val="2"/>
        </w:numPr>
      </w:pPr>
      <w:r w:rsidRPr="002940E0">
        <w:t>Ensure that members receive immediate confirmation of their contributions, including personalized thank-you messages and tax-deduction receipts (if applicable).</w:t>
      </w:r>
    </w:p>
    <w:p w14:paraId="12257BFE" w14:textId="77777777" w:rsidR="002940E0" w:rsidRPr="002940E0" w:rsidRDefault="002940E0" w:rsidP="002940E0">
      <w:pPr>
        <w:numPr>
          <w:ilvl w:val="0"/>
          <w:numId w:val="2"/>
        </w:numPr>
      </w:pPr>
      <w:r w:rsidRPr="002940E0">
        <w:rPr>
          <w:b/>
          <w:bCs/>
        </w:rPr>
        <w:t>Recurring Contribution Option</w:t>
      </w:r>
      <w:r w:rsidRPr="002940E0">
        <w:t>:</w:t>
      </w:r>
    </w:p>
    <w:p w14:paraId="43127646" w14:textId="23878162" w:rsidR="002940E0" w:rsidRPr="002940E0" w:rsidRDefault="002940E0" w:rsidP="002940E0">
      <w:pPr>
        <w:numPr>
          <w:ilvl w:val="1"/>
          <w:numId w:val="2"/>
        </w:numPr>
      </w:pPr>
      <w:r w:rsidRPr="002940E0">
        <w:t xml:space="preserve">Allow members to opt into monthly or annual contributions during registration. This </w:t>
      </w:r>
      <w:r w:rsidR="00CB7E4C" w:rsidRPr="002940E0">
        <w:t>cuts</w:t>
      </w:r>
      <w:r w:rsidRPr="002940E0">
        <w:t xml:space="preserve"> the need for repeated transactions while fostering ongoing support.</w:t>
      </w:r>
    </w:p>
    <w:p w14:paraId="365026D9" w14:textId="77777777" w:rsidR="002940E0" w:rsidRPr="002940E0" w:rsidRDefault="002940E0" w:rsidP="002940E0">
      <w:pPr>
        <w:numPr>
          <w:ilvl w:val="0"/>
          <w:numId w:val="2"/>
        </w:numPr>
      </w:pPr>
      <w:r w:rsidRPr="002940E0">
        <w:rPr>
          <w:b/>
          <w:bCs/>
        </w:rPr>
        <w:t>Promotion and Incentives</w:t>
      </w:r>
      <w:r w:rsidRPr="002940E0">
        <w:t>:</w:t>
      </w:r>
    </w:p>
    <w:p w14:paraId="3BEF12AC" w14:textId="057F7CD1" w:rsidR="002940E0" w:rsidRPr="002940E0" w:rsidRDefault="002940E0" w:rsidP="002940E0">
      <w:pPr>
        <w:numPr>
          <w:ilvl w:val="1"/>
          <w:numId w:val="2"/>
        </w:numPr>
      </w:pPr>
      <w:r w:rsidRPr="002940E0">
        <w:lastRenderedPageBreak/>
        <w:t xml:space="preserve">Highlight the impact of past contributions through success stories or </w:t>
      </w:r>
      <w:r w:rsidR="00F807E1" w:rsidRPr="002940E0">
        <w:t>data and</w:t>
      </w:r>
      <w:r w:rsidRPr="002940E0">
        <w:t xml:space="preserve"> consider offering incentives like recognition or small tokens of appreciation for donors.</w:t>
      </w:r>
    </w:p>
    <w:p w14:paraId="5DAC2108" w14:textId="77777777" w:rsidR="002940E0" w:rsidRPr="002940E0" w:rsidRDefault="002940E0" w:rsidP="002940E0">
      <w:pPr>
        <w:numPr>
          <w:ilvl w:val="0"/>
          <w:numId w:val="2"/>
        </w:numPr>
      </w:pPr>
      <w:r w:rsidRPr="002940E0">
        <w:rPr>
          <w:b/>
          <w:bCs/>
        </w:rPr>
        <w:t>User-Friendly Platform</w:t>
      </w:r>
      <w:r w:rsidRPr="002940E0">
        <w:t>:</w:t>
      </w:r>
    </w:p>
    <w:p w14:paraId="2F7C13DD" w14:textId="77777777" w:rsidR="002940E0" w:rsidRPr="002940E0" w:rsidRDefault="002940E0" w:rsidP="002940E0">
      <w:pPr>
        <w:numPr>
          <w:ilvl w:val="1"/>
          <w:numId w:val="2"/>
        </w:numPr>
      </w:pPr>
      <w:r w:rsidRPr="002940E0">
        <w:t>Design the registration and contribution process to be intuitive and quick, with clear instructions, mobile compatibility, and minimal steps to complete.</w:t>
      </w:r>
    </w:p>
    <w:p w14:paraId="4612C499" w14:textId="380A7AC0" w:rsidR="002940E0" w:rsidRPr="002940E0" w:rsidRDefault="002940E0" w:rsidP="002940E0">
      <w:r w:rsidRPr="002940E0">
        <w:t xml:space="preserve">By making the process simple, engaging, and impactful, you can encourage more members to contribute meaningfully during their registration. Would you like </w:t>
      </w:r>
      <w:r w:rsidR="00CB7E4C" w:rsidRPr="002940E0">
        <w:t>aid</w:t>
      </w:r>
      <w:r w:rsidRPr="002940E0">
        <w:t xml:space="preserve"> with crafting a user-friendly registration template or communication plan?</w:t>
      </w:r>
    </w:p>
    <w:p w14:paraId="33DDFFA5" w14:textId="77777777" w:rsidR="002940E0" w:rsidRPr="002940E0" w:rsidRDefault="002940E0" w:rsidP="002940E0">
      <w:r w:rsidRPr="002940E0">
        <w:t>A $50 registration fee could be an effective and straightforward approach to support organizational activities or specific funds, such as the Benevolent Fund. To ensure its success, you could:</w:t>
      </w:r>
    </w:p>
    <w:p w14:paraId="66A52D6A" w14:textId="55846053" w:rsidR="002940E0" w:rsidRPr="002940E0" w:rsidRDefault="002940E0" w:rsidP="003B5835">
      <w:pPr>
        <w:numPr>
          <w:ilvl w:val="0"/>
          <w:numId w:val="3"/>
        </w:numPr>
      </w:pPr>
      <w:r w:rsidRPr="002940E0">
        <w:rPr>
          <w:b/>
          <w:bCs/>
        </w:rPr>
        <w:t>Communicate the Purpose</w:t>
      </w:r>
      <w:r w:rsidRPr="002940E0">
        <w:t xml:space="preserve">: Clearly explain how the fee will be </w:t>
      </w:r>
      <w:r w:rsidR="00CB7E4C" w:rsidRPr="002940E0">
        <w:t>used</w:t>
      </w:r>
      <w:r w:rsidRPr="002940E0">
        <w:t>—whether it supports the Benevolent Fund, covers event costs, or other initiatives. Transparency can encourage participation.</w:t>
      </w:r>
      <w:r w:rsidR="003B5835">
        <w:t xml:space="preserve"> </w:t>
      </w:r>
      <w:r w:rsidR="003B5835" w:rsidRPr="003B5835">
        <w:rPr>
          <w:b/>
        </w:rPr>
        <w:t>Communicate the Purpose</w:t>
      </w:r>
      <w:r w:rsidR="003B5835" w:rsidRPr="003B5835">
        <w:t xml:space="preserve">: Clearly articulate how the fee will be </w:t>
      </w:r>
      <w:r w:rsidR="008D50F0" w:rsidRPr="003B5835">
        <w:t>distributed</w:t>
      </w:r>
      <w:r w:rsidR="00696DF7">
        <w:t xml:space="preserve">, </w:t>
      </w:r>
      <w:r w:rsidR="003B5835" w:rsidRPr="003B5835">
        <w:t>such as supporting the Benevolent Fund, covering event expenses, or funding various initiatives.</w:t>
      </w:r>
    </w:p>
    <w:p w14:paraId="69CC187E" w14:textId="77777777" w:rsidR="002940E0" w:rsidRPr="002940E0" w:rsidRDefault="002940E0" w:rsidP="002940E0">
      <w:pPr>
        <w:numPr>
          <w:ilvl w:val="0"/>
          <w:numId w:val="3"/>
        </w:numPr>
      </w:pPr>
      <w:r w:rsidRPr="002940E0">
        <w:rPr>
          <w:b/>
          <w:bCs/>
        </w:rPr>
        <w:t>Incentivize Early Registration</w:t>
      </w:r>
      <w:r w:rsidRPr="002940E0">
        <w:t>: Offer early-bird discounts or special recognition for those who register and pay the fee ahead of deadlines.</w:t>
      </w:r>
    </w:p>
    <w:p w14:paraId="55D48392" w14:textId="77777777" w:rsidR="002940E0" w:rsidRPr="002940E0" w:rsidRDefault="002940E0" w:rsidP="002940E0">
      <w:pPr>
        <w:numPr>
          <w:ilvl w:val="0"/>
          <w:numId w:val="3"/>
        </w:numPr>
      </w:pPr>
      <w:r w:rsidRPr="002940E0">
        <w:rPr>
          <w:b/>
          <w:bCs/>
        </w:rPr>
        <w:t>Bundle Options</w:t>
      </w:r>
      <w:r w:rsidRPr="002940E0">
        <w:t>: Pair the fee with optional contributions to other initiatives, like donations to the Benevolent Fund, to provide members with a one-stop process for registration and support.</w:t>
      </w:r>
    </w:p>
    <w:p w14:paraId="54C86429" w14:textId="77777777" w:rsidR="002940E0" w:rsidRPr="002940E0" w:rsidRDefault="002940E0" w:rsidP="002940E0">
      <w:pPr>
        <w:numPr>
          <w:ilvl w:val="0"/>
          <w:numId w:val="3"/>
        </w:numPr>
      </w:pPr>
      <w:r w:rsidRPr="002940E0">
        <w:rPr>
          <w:b/>
          <w:bCs/>
        </w:rPr>
        <w:t>Highlight Impact</w:t>
      </w:r>
      <w:r w:rsidRPr="002940E0">
        <w:t>: Showcase stories or outcomes that have been made possible by similar efforts in the past, ensuring members see the tangible benefits of their contributions.</w:t>
      </w:r>
    </w:p>
    <w:p w14:paraId="26B756DB" w14:textId="25ECBB84" w:rsidR="002940E0" w:rsidRPr="002940E0" w:rsidRDefault="002940E0" w:rsidP="002940E0"/>
    <w:p w14:paraId="6B68FF7D" w14:textId="77777777" w:rsidR="002940E0" w:rsidRDefault="002940E0" w:rsidP="002940E0"/>
    <w:sectPr w:rsidR="0029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F6728"/>
    <w:multiLevelType w:val="multilevel"/>
    <w:tmpl w:val="6AB0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1723A"/>
    <w:multiLevelType w:val="multilevel"/>
    <w:tmpl w:val="DE06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965A7"/>
    <w:multiLevelType w:val="multilevel"/>
    <w:tmpl w:val="E290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432064">
    <w:abstractNumId w:val="0"/>
  </w:num>
  <w:num w:numId="2" w16cid:durableId="1033841420">
    <w:abstractNumId w:val="1"/>
  </w:num>
  <w:num w:numId="3" w16cid:durableId="189465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E0"/>
    <w:rsid w:val="000F276D"/>
    <w:rsid w:val="0016251F"/>
    <w:rsid w:val="002940E0"/>
    <w:rsid w:val="003B5835"/>
    <w:rsid w:val="00415479"/>
    <w:rsid w:val="00696DF7"/>
    <w:rsid w:val="0071598A"/>
    <w:rsid w:val="008D50F0"/>
    <w:rsid w:val="00CB7E4C"/>
    <w:rsid w:val="00CC7E48"/>
    <w:rsid w:val="00D97B40"/>
    <w:rsid w:val="00E54BF3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C0FB8"/>
  <w15:chartTrackingRefBased/>
  <w15:docId w15:val="{73DC45C4-E36B-4163-834F-9B8BC1E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tinney</dc:creator>
  <cp:keywords/>
  <dc:description/>
  <cp:lastModifiedBy>gary tinney</cp:lastModifiedBy>
  <cp:revision>2</cp:revision>
  <dcterms:created xsi:type="dcterms:W3CDTF">2025-05-15T01:31:00Z</dcterms:created>
  <dcterms:modified xsi:type="dcterms:W3CDTF">2025-05-15T01:31:00Z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0f4ff9dd-dfc2-4e4c-ba60-af80ca0ef727</vt:lpwstr>
  </property>
</Properties>
</file>